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F5" w:rsidRDefault="00D047F5" w:rsidP="00D047F5">
      <w:pPr>
        <w:keepNext/>
        <w:keepLines/>
        <w:tabs>
          <w:tab w:val="left" w:pos="3905"/>
          <w:tab w:val="right" w:pos="9355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F5" w:rsidRPr="00E67FEF" w:rsidRDefault="00D047F5" w:rsidP="00D047F5">
      <w:pPr>
        <w:keepNext/>
        <w:keepLines/>
        <w:tabs>
          <w:tab w:val="left" w:pos="3905"/>
          <w:tab w:val="right" w:pos="9355"/>
        </w:tabs>
        <w:spacing w:before="120"/>
        <w:jc w:val="center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b/>
          <w:sz w:val="24"/>
          <w:szCs w:val="24"/>
        </w:rPr>
        <w:t>Регламент 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7FE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tbl>
      <w:tblPr>
        <w:tblW w:w="0" w:type="auto"/>
        <w:tblInd w:w="108" w:type="dxa"/>
        <w:tblBorders>
          <w:bottom w:val="single" w:sz="4" w:space="0" w:color="auto"/>
        </w:tblBorders>
        <w:tblLook w:val="00A0"/>
      </w:tblPr>
      <w:tblGrid>
        <w:gridCol w:w="9463"/>
      </w:tblGrid>
      <w:tr w:rsidR="00D047F5" w:rsidRPr="00E67FEF" w:rsidTr="00771BEF">
        <w:tc>
          <w:tcPr>
            <w:tcW w:w="9463" w:type="dxa"/>
            <w:tcBorders>
              <w:bottom w:val="single" w:sz="4" w:space="0" w:color="auto"/>
            </w:tcBorders>
          </w:tcPr>
          <w:p w:rsidR="00D047F5" w:rsidRPr="00E67FEF" w:rsidRDefault="00D047F5" w:rsidP="00771BEF">
            <w:pPr>
              <w:jc w:val="center"/>
              <w:rPr>
                <w:rFonts w:ascii="Times New Roman" w:hAnsi="Times New Roman" w:cs="Times New Roman"/>
                <w:b/>
                <w:color w:val="FF0000"/>
                <w:kern w:val="26"/>
                <w:sz w:val="24"/>
                <w:szCs w:val="24"/>
              </w:rPr>
            </w:pPr>
            <w:r w:rsidRPr="00E67FEF">
              <w:rPr>
                <w:rFonts w:ascii="Times New Roman" w:hAnsi="Times New Roman" w:cs="Times New Roman"/>
                <w:b/>
                <w:kern w:val="26"/>
                <w:sz w:val="24"/>
                <w:szCs w:val="24"/>
              </w:rPr>
              <w:t xml:space="preserve"> </w:t>
            </w:r>
            <w:r w:rsidRPr="00E67FEF"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государственного бюджетного учреждения социального обслуживания населения Ростовской области </w:t>
            </w:r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 «Социально-реабилитационный центр для несовершеннолетних </w:t>
            </w:r>
            <w:proofErr w:type="spellStart"/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>Заветинского</w:t>
            </w:r>
            <w:proofErr w:type="spellEnd"/>
            <w:r>
              <w:rPr>
                <w:rFonts w:ascii="Times New Roman" w:hAnsi="Times New Roman" w:cs="Times New Roman"/>
                <w:kern w:val="26"/>
                <w:sz w:val="24"/>
                <w:szCs w:val="24"/>
              </w:rPr>
              <w:t xml:space="preserve"> района»</w:t>
            </w:r>
          </w:p>
        </w:tc>
      </w:tr>
    </w:tbl>
    <w:p w:rsidR="00D047F5" w:rsidRPr="00E67FEF" w:rsidRDefault="00D047F5" w:rsidP="00D047F5">
      <w:pPr>
        <w:pStyle w:val="a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b/>
          <w:bCs/>
          <w:sz w:val="24"/>
          <w:szCs w:val="24"/>
        </w:rPr>
      </w:pPr>
      <w:r w:rsidRPr="00E67FEF">
        <w:rPr>
          <w:b/>
          <w:bCs/>
          <w:sz w:val="24"/>
          <w:szCs w:val="24"/>
        </w:rPr>
        <w:t>Общие положения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proofErr w:type="gramStart"/>
      <w:r w:rsidRPr="00E67FEF">
        <w:rPr>
          <w:sz w:val="24"/>
          <w:szCs w:val="24"/>
        </w:rPr>
        <w:t>Настоящий Регламент обмена деловыми подарками и знаками делового гостеприимства государственного бюджетного учреждения социального обслуживания населения Ростовской области «Социально-реабилитационный центр д</w:t>
      </w:r>
      <w:r>
        <w:rPr>
          <w:sz w:val="24"/>
          <w:szCs w:val="24"/>
        </w:rPr>
        <w:t xml:space="preserve">ля несовершеннолетних   </w:t>
      </w:r>
      <w:proofErr w:type="spellStart"/>
      <w:r>
        <w:rPr>
          <w:sz w:val="24"/>
          <w:szCs w:val="24"/>
        </w:rPr>
        <w:t>Заветинского</w:t>
      </w:r>
      <w:proofErr w:type="spellEnd"/>
      <w:r>
        <w:rPr>
          <w:sz w:val="24"/>
          <w:szCs w:val="24"/>
        </w:rPr>
        <w:t xml:space="preserve"> </w:t>
      </w:r>
      <w:r w:rsidRPr="00E67FEF">
        <w:rPr>
          <w:sz w:val="24"/>
          <w:szCs w:val="24"/>
        </w:rPr>
        <w:t xml:space="preserve"> района»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</w:t>
      </w:r>
      <w:proofErr w:type="gramEnd"/>
      <w:r w:rsidRPr="00E67FEF">
        <w:rPr>
          <w:sz w:val="24"/>
          <w:szCs w:val="24"/>
        </w:rPr>
        <w:t xml:space="preserve"> </w:t>
      </w:r>
      <w:proofErr w:type="gramStart"/>
      <w:r w:rsidRPr="00E67FEF">
        <w:rPr>
          <w:sz w:val="24"/>
          <w:szCs w:val="24"/>
        </w:rPr>
        <w:t>нормах</w:t>
      </w:r>
      <w:proofErr w:type="gramEnd"/>
      <w:r w:rsidRPr="00E67FEF">
        <w:rPr>
          <w:sz w:val="24"/>
          <w:szCs w:val="24"/>
        </w:rPr>
        <w:t xml:space="preserve"> российского общества и государства.</w:t>
      </w:r>
    </w:p>
    <w:p w:rsidR="00D047F5" w:rsidRPr="00E67FEF" w:rsidRDefault="00D047F5" w:rsidP="00D047F5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67FEF">
        <w:rPr>
          <w:sz w:val="24"/>
          <w:szCs w:val="24"/>
        </w:rPr>
        <w:t>1.2.Целями Регламента обмена деловыми подарками являются:</w:t>
      </w:r>
    </w:p>
    <w:p w:rsidR="00D047F5" w:rsidRDefault="00D047F5" w:rsidP="00D047F5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D047F5" w:rsidRPr="00E67FEF" w:rsidRDefault="00D047F5" w:rsidP="00D047F5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D047F5" w:rsidRPr="00E67FEF" w:rsidRDefault="00D047F5" w:rsidP="00D047F5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D047F5" w:rsidRPr="00E67FEF" w:rsidRDefault="00D047F5" w:rsidP="00D047F5">
      <w:pPr>
        <w:spacing w:after="0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D047F5" w:rsidRPr="00E67FEF" w:rsidRDefault="00D047F5" w:rsidP="00D047F5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67FEF">
        <w:rPr>
          <w:sz w:val="24"/>
          <w:szCs w:val="24"/>
        </w:rPr>
        <w:t>1.3.Организация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D047F5" w:rsidRPr="00E67FEF" w:rsidRDefault="00D047F5" w:rsidP="00D047F5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67FEF">
        <w:rPr>
          <w:sz w:val="24"/>
          <w:szCs w:val="24"/>
        </w:rPr>
        <w:t>1.4.Отношения,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D047F5" w:rsidRPr="00E67FEF" w:rsidRDefault="00D047F5" w:rsidP="00D047F5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67FEF">
        <w:rPr>
          <w:sz w:val="24"/>
          <w:szCs w:val="24"/>
        </w:rPr>
        <w:t>1.5.Работникам,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D047F5" w:rsidRPr="00E67FEF" w:rsidRDefault="00D047F5" w:rsidP="00D047F5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E67FEF">
        <w:rPr>
          <w:sz w:val="24"/>
          <w:szCs w:val="24"/>
        </w:rPr>
        <w:t>1.6.При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D047F5" w:rsidRPr="00E67FEF" w:rsidRDefault="00D047F5" w:rsidP="00D047F5">
      <w:pPr>
        <w:pStyle w:val="a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b/>
          <w:bCs/>
          <w:sz w:val="24"/>
          <w:szCs w:val="24"/>
        </w:rPr>
      </w:pPr>
      <w:r w:rsidRPr="00E67FEF">
        <w:rPr>
          <w:b/>
          <w:bCs/>
          <w:sz w:val="24"/>
          <w:szCs w:val="24"/>
        </w:rPr>
        <w:t>Правила обмена деловыми подарками и знаками делового гостеприимства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lastRenderedPageBreak/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 (ее) деловых суждений и решений.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D047F5" w:rsidRPr="00E67FEF" w:rsidRDefault="00D047F5" w:rsidP="00D047F5">
      <w:pPr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D047F5" w:rsidRPr="00E67FEF" w:rsidRDefault="00D047F5" w:rsidP="00D047F5">
      <w:pPr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 xml:space="preserve">– для получения услуг, кредитов от </w:t>
      </w:r>
      <w:proofErr w:type="spellStart"/>
      <w:r w:rsidRPr="00E67FEF">
        <w:rPr>
          <w:rFonts w:ascii="Times New Roman" w:hAnsi="Times New Roman" w:cs="Times New Roman"/>
          <w:kern w:val="26"/>
          <w:sz w:val="24"/>
          <w:szCs w:val="24"/>
        </w:rPr>
        <w:t>аффилированных</w:t>
      </w:r>
      <w:proofErr w:type="spellEnd"/>
      <w:r w:rsidRPr="00E67FEF">
        <w:rPr>
          <w:rFonts w:ascii="Times New Roman" w:hAnsi="Times New Roman" w:cs="Times New Roman"/>
          <w:kern w:val="26"/>
          <w:sz w:val="24"/>
          <w:szCs w:val="24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Подарки и услуги не должны ставить под сомнение имидж или деловую репутацию организации или ее работника.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Работник, которому при выполнении трудовых обязанностей предлагаются подарки или иное вознаграждение,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D047F5" w:rsidRPr="00E67FEF" w:rsidRDefault="00D047F5" w:rsidP="00D047F5">
      <w:pPr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D047F5" w:rsidRPr="00E67FEF" w:rsidRDefault="00D047F5" w:rsidP="00D047F5">
      <w:pPr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D047F5" w:rsidRPr="00E67FEF" w:rsidRDefault="00D047F5" w:rsidP="00D047F5">
      <w:pPr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E67FEF">
        <w:rPr>
          <w:rFonts w:ascii="Times New Roman" w:hAnsi="Times New Roman" w:cs="Times New Roman"/>
          <w:kern w:val="26"/>
          <w:sz w:val="24"/>
          <w:szCs w:val="24"/>
        </w:rPr>
        <w:t xml:space="preserve">– в случае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 w:rsidRPr="00E67FEF">
        <w:rPr>
          <w:rFonts w:ascii="Times New Roman" w:hAnsi="Times New Roman" w:cs="Times New Roman"/>
          <w:kern w:val="26"/>
          <w:sz w:val="24"/>
          <w:szCs w:val="24"/>
        </w:rPr>
        <w:lastRenderedPageBreak/>
        <w:t>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D047F5" w:rsidRPr="00E67FEF" w:rsidRDefault="00D047F5" w:rsidP="00D047F5">
      <w:pPr>
        <w:pStyle w:val="a"/>
        <w:numPr>
          <w:ilvl w:val="1"/>
          <w:numId w:val="2"/>
        </w:numPr>
        <w:spacing w:line="240" w:lineRule="auto"/>
        <w:ind w:left="0" w:firstLine="0"/>
        <w:rPr>
          <w:sz w:val="24"/>
          <w:szCs w:val="24"/>
        </w:rPr>
      </w:pPr>
      <w:r w:rsidRPr="00E67FEF">
        <w:rPr>
          <w:sz w:val="24"/>
          <w:szCs w:val="24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D047F5" w:rsidRPr="00E67FEF" w:rsidRDefault="00D047F5" w:rsidP="00D047F5">
      <w:pPr>
        <w:pStyle w:val="a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b/>
          <w:bCs/>
          <w:sz w:val="24"/>
          <w:szCs w:val="24"/>
        </w:rPr>
      </w:pPr>
      <w:r w:rsidRPr="00E67FEF">
        <w:rPr>
          <w:b/>
          <w:bCs/>
          <w:sz w:val="24"/>
          <w:szCs w:val="24"/>
        </w:rPr>
        <w:t>Область применения</w:t>
      </w:r>
    </w:p>
    <w:p w:rsidR="00D047F5" w:rsidRPr="00E67FEF" w:rsidRDefault="00D047F5" w:rsidP="00D047F5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spacing w:line="240" w:lineRule="auto"/>
        <w:ind w:left="0" w:firstLine="709"/>
        <w:rPr>
          <w:sz w:val="24"/>
          <w:szCs w:val="24"/>
        </w:rPr>
      </w:pPr>
      <w:r w:rsidRPr="00E67FEF">
        <w:rPr>
          <w:sz w:val="24"/>
          <w:szCs w:val="24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D047F5" w:rsidRPr="00E67FEF" w:rsidRDefault="00D047F5" w:rsidP="00D047F5">
      <w:pPr>
        <w:rPr>
          <w:rFonts w:ascii="Times New Roman" w:hAnsi="Times New Roman" w:cs="Times New Roman"/>
        </w:rPr>
      </w:pPr>
    </w:p>
    <w:p w:rsidR="00D047F5" w:rsidRPr="00E67FEF" w:rsidRDefault="00D047F5" w:rsidP="00D047F5">
      <w:pPr>
        <w:rPr>
          <w:rFonts w:ascii="Times New Roman" w:hAnsi="Times New Roman" w:cs="Times New Roman"/>
        </w:rPr>
      </w:pPr>
    </w:p>
    <w:p w:rsidR="00D047F5" w:rsidRPr="00E67FEF" w:rsidRDefault="00D047F5" w:rsidP="00D047F5">
      <w:pPr>
        <w:rPr>
          <w:rFonts w:ascii="Times New Roman" w:hAnsi="Times New Roman" w:cs="Times New Roman"/>
        </w:rPr>
      </w:pPr>
    </w:p>
    <w:p w:rsidR="00D047F5" w:rsidRDefault="00D047F5" w:rsidP="00D047F5">
      <w:pPr>
        <w:rPr>
          <w:rFonts w:ascii="Times New Roman" w:hAnsi="Times New Roman" w:cs="Times New Roman"/>
        </w:rPr>
      </w:pPr>
    </w:p>
    <w:p w:rsidR="00D047F5" w:rsidRDefault="00D047F5" w:rsidP="00D047F5">
      <w:pPr>
        <w:rPr>
          <w:rFonts w:ascii="Times New Roman" w:hAnsi="Times New Roman" w:cs="Times New Roman"/>
        </w:rPr>
      </w:pPr>
    </w:p>
    <w:p w:rsidR="00D047F5" w:rsidRDefault="00D047F5" w:rsidP="00D047F5">
      <w:pPr>
        <w:rPr>
          <w:rFonts w:ascii="Times New Roman" w:hAnsi="Times New Roman" w:cs="Times New Roman"/>
        </w:rPr>
      </w:pPr>
    </w:p>
    <w:p w:rsidR="00E81965" w:rsidRDefault="00E81965"/>
    <w:sectPr w:rsidR="00E81965" w:rsidSect="00E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47F5"/>
    <w:rsid w:val="0088093B"/>
    <w:rsid w:val="00911B07"/>
    <w:rsid w:val="00D047F5"/>
    <w:rsid w:val="00E81965"/>
    <w:rsid w:val="00FA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47F5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D047F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kern w:val="26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5928</Characters>
  <Application>Microsoft Office Word</Application>
  <DocSecurity>0</DocSecurity>
  <Lines>49</Lines>
  <Paragraphs>13</Paragraphs>
  <ScaleCrop>false</ScaleCrop>
  <Company>Microsoft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выааыв</dc:creator>
  <cp:lastModifiedBy>User</cp:lastModifiedBy>
  <cp:revision>3</cp:revision>
  <dcterms:created xsi:type="dcterms:W3CDTF">2020-04-21T06:38:00Z</dcterms:created>
  <dcterms:modified xsi:type="dcterms:W3CDTF">2026-07-02T06:24:00Z</dcterms:modified>
</cp:coreProperties>
</file>